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A4D37" w14:textId="77777777" w:rsidR="007D2459" w:rsidRPr="00802348" w:rsidRDefault="003B0AD5" w:rsidP="007D2459">
      <w:pPr>
        <w:pStyle w:val="NoSpacing"/>
        <w:jc w:val="center"/>
        <w:rPr>
          <w:rFonts w:ascii="Georgia" w:hAnsi="Georgia" w:cs="Times New Roman"/>
          <w:b/>
        </w:rPr>
      </w:pPr>
      <w:r w:rsidRPr="00802348">
        <w:rPr>
          <w:rFonts w:ascii="Georgia" w:hAnsi="Georgia" w:cs="Times New Roman"/>
          <w:b/>
          <w:noProof/>
          <w:lang w:val="es-MX" w:eastAsia="es-MX"/>
        </w:rPr>
        <w:drawing>
          <wp:inline distT="0" distB="0" distL="0" distR="0" wp14:anchorId="797A4D5C" wp14:editId="797A4D5D">
            <wp:extent cx="1548384" cy="914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ferred Hotels &amp; Resorts SMALL LOGO_black.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8384" cy="914400"/>
                    </a:xfrm>
                    <a:prstGeom prst="rect">
                      <a:avLst/>
                    </a:prstGeom>
                  </pic:spPr>
                </pic:pic>
              </a:graphicData>
            </a:graphic>
          </wp:inline>
        </w:drawing>
      </w:r>
    </w:p>
    <w:p w14:paraId="797A4D38" w14:textId="77777777" w:rsidR="002106F9" w:rsidRPr="00802348" w:rsidRDefault="002106F9" w:rsidP="008D3FE7">
      <w:pPr>
        <w:pStyle w:val="NoSpacing"/>
        <w:jc w:val="center"/>
        <w:rPr>
          <w:rFonts w:ascii="Georgia" w:hAnsi="Georgia" w:cs="Times New Roman"/>
          <w:color w:val="FF0000"/>
          <w:u w:val="single"/>
        </w:rPr>
      </w:pPr>
    </w:p>
    <w:p w14:paraId="797A4D39" w14:textId="64410044" w:rsidR="007D2459" w:rsidRPr="00004E6A" w:rsidRDefault="00E11B1B" w:rsidP="008D3FE7">
      <w:pPr>
        <w:pStyle w:val="NoSpacing"/>
        <w:jc w:val="center"/>
        <w:rPr>
          <w:rFonts w:ascii="Georgia" w:hAnsi="Georgia" w:cs="Times New Roman"/>
          <w:color w:val="FF0000"/>
          <w:sz w:val="32"/>
          <w:szCs w:val="32"/>
          <w:u w:val="single"/>
        </w:rPr>
      </w:pPr>
      <w:r w:rsidRPr="00004E6A">
        <w:rPr>
          <w:rFonts w:ascii="Georgia" w:hAnsi="Georgia" w:cs="Times New Roman"/>
          <w:color w:val="FF0000"/>
          <w:sz w:val="32"/>
          <w:szCs w:val="32"/>
          <w:u w:val="single"/>
        </w:rPr>
        <w:t>Mexico</w:t>
      </w:r>
      <w:r w:rsidR="008D3FE7" w:rsidRPr="00004E6A">
        <w:rPr>
          <w:rFonts w:ascii="Georgia" w:hAnsi="Georgia" w:cs="Times New Roman"/>
          <w:color w:val="FF0000"/>
          <w:sz w:val="32"/>
          <w:szCs w:val="32"/>
          <w:u w:val="single"/>
        </w:rPr>
        <w:t xml:space="preserve"> - Market Update </w:t>
      </w:r>
      <w:r w:rsidR="0005635D" w:rsidRPr="00004E6A">
        <w:rPr>
          <w:rFonts w:ascii="Georgia" w:hAnsi="Georgia" w:cs="Times New Roman"/>
          <w:color w:val="FF0000"/>
          <w:sz w:val="32"/>
          <w:szCs w:val="32"/>
          <w:u w:val="single"/>
        </w:rPr>
        <w:t>– Q</w:t>
      </w:r>
      <w:r w:rsidR="00004E6A" w:rsidRPr="00004E6A">
        <w:rPr>
          <w:rFonts w:ascii="Georgia" w:hAnsi="Georgia" w:cs="Times New Roman"/>
          <w:color w:val="FF0000"/>
          <w:sz w:val="32"/>
          <w:szCs w:val="32"/>
          <w:u w:val="single"/>
        </w:rPr>
        <w:t>3</w:t>
      </w:r>
      <w:r w:rsidR="00802348" w:rsidRPr="00004E6A">
        <w:rPr>
          <w:rFonts w:ascii="Georgia" w:hAnsi="Georgia" w:cs="Times New Roman"/>
          <w:color w:val="FF0000"/>
          <w:sz w:val="32"/>
          <w:szCs w:val="32"/>
          <w:u w:val="single"/>
        </w:rPr>
        <w:t xml:space="preserve"> 2021</w:t>
      </w:r>
    </w:p>
    <w:p w14:paraId="423073AD" w14:textId="77777777" w:rsidR="006D15FA" w:rsidRPr="00004E6A" w:rsidRDefault="006D15FA" w:rsidP="00004E6A">
      <w:pPr>
        <w:jc w:val="both"/>
        <w:rPr>
          <w:rFonts w:ascii="Georgia" w:hAnsi="Georgia"/>
          <w:lang w:eastAsia="en-US"/>
        </w:rPr>
      </w:pPr>
    </w:p>
    <w:p w14:paraId="22207954" w14:textId="77777777" w:rsidR="00004E6A" w:rsidRPr="00C87B1D" w:rsidRDefault="00004E6A" w:rsidP="00004E6A">
      <w:pPr>
        <w:jc w:val="center"/>
        <w:rPr>
          <w:rFonts w:ascii="Georgia" w:hAnsi="Georgia"/>
          <w:b/>
          <w:color w:val="00B0F0"/>
          <w:sz w:val="24"/>
          <w:szCs w:val="24"/>
          <w:u w:val="single"/>
          <w:lang w:eastAsia="en-US"/>
        </w:rPr>
      </w:pPr>
      <w:r w:rsidRPr="00C87B1D">
        <w:rPr>
          <w:rFonts w:ascii="Georgia" w:hAnsi="Georgia" w:cs="Calibri"/>
          <w:b/>
          <w:color w:val="00B0F0"/>
          <w:sz w:val="24"/>
          <w:szCs w:val="24"/>
          <w:u w:val="single"/>
          <w:lang w:eastAsia="en-US"/>
        </w:rPr>
        <w:t xml:space="preserve">LEISURE </w:t>
      </w:r>
      <w:r>
        <w:rPr>
          <w:rFonts w:ascii="Georgia" w:hAnsi="Georgia" w:cs="Calibri"/>
          <w:b/>
          <w:color w:val="00B0F0"/>
          <w:sz w:val="24"/>
          <w:szCs w:val="24"/>
          <w:u w:val="single"/>
          <w:lang w:eastAsia="en-US"/>
        </w:rPr>
        <w:t xml:space="preserve">&amp; CORPORATE </w:t>
      </w:r>
      <w:r w:rsidRPr="00C87B1D">
        <w:rPr>
          <w:rFonts w:ascii="Georgia" w:hAnsi="Georgia" w:cs="Calibri"/>
          <w:b/>
          <w:color w:val="00B0F0"/>
          <w:sz w:val="24"/>
          <w:szCs w:val="24"/>
          <w:u w:val="single"/>
          <w:lang w:eastAsia="en-US"/>
        </w:rPr>
        <w:t>SALES</w:t>
      </w:r>
    </w:p>
    <w:p w14:paraId="52DB4B94" w14:textId="77777777" w:rsidR="00004E6A" w:rsidRDefault="00004E6A" w:rsidP="00004E6A">
      <w:pPr>
        <w:pStyle w:val="ListParagraph"/>
        <w:ind w:left="0"/>
        <w:rPr>
          <w:rFonts w:ascii="Georgia" w:hAnsi="Georgia"/>
          <w:sz w:val="20"/>
          <w:szCs w:val="20"/>
        </w:rPr>
      </w:pPr>
    </w:p>
    <w:p w14:paraId="41EF5238" w14:textId="77777777" w:rsidR="00004E6A" w:rsidRPr="004755B4" w:rsidRDefault="00004E6A" w:rsidP="00004E6A">
      <w:pPr>
        <w:pStyle w:val="ListParagraph"/>
        <w:numPr>
          <w:ilvl w:val="0"/>
          <w:numId w:val="18"/>
        </w:numPr>
        <w:jc w:val="both"/>
        <w:rPr>
          <w:rFonts w:ascii="Georgia" w:hAnsi="Georgia"/>
          <w:color w:val="000000" w:themeColor="text1"/>
          <w:sz w:val="20"/>
          <w:szCs w:val="20"/>
          <w:lang w:eastAsia="en-US"/>
        </w:rPr>
      </w:pPr>
      <w:r w:rsidRPr="004755B4">
        <w:rPr>
          <w:rFonts w:ascii="Georgia" w:eastAsia="Times New Roman" w:hAnsi="Georgia"/>
          <w:sz w:val="20"/>
          <w:szCs w:val="20"/>
        </w:rPr>
        <w:t xml:space="preserve">78.8% of tourists who arrived in Mexico in the first six months of 2021 came from the United States (traditionally the largest tourism market for the country). The main feeder markets for MX were the United States, </w:t>
      </w:r>
      <w:proofErr w:type="gramStart"/>
      <w:r w:rsidRPr="004755B4">
        <w:rPr>
          <w:rFonts w:ascii="Georgia" w:eastAsia="Times New Roman" w:hAnsi="Georgia"/>
          <w:sz w:val="20"/>
          <w:szCs w:val="20"/>
        </w:rPr>
        <w:t>Colombia</w:t>
      </w:r>
      <w:proofErr w:type="gramEnd"/>
      <w:r w:rsidRPr="004755B4">
        <w:rPr>
          <w:rFonts w:ascii="Georgia" w:eastAsia="Times New Roman" w:hAnsi="Georgia"/>
          <w:sz w:val="20"/>
          <w:szCs w:val="20"/>
        </w:rPr>
        <w:t xml:space="preserve"> and Brazil - up until 2019 the top 3 feeder markets were the United States, Canada and the United Kingdom</w:t>
      </w:r>
    </w:p>
    <w:p w14:paraId="153205F0" w14:textId="77777777" w:rsidR="00004E6A" w:rsidRPr="004755B4" w:rsidRDefault="00004E6A" w:rsidP="00004E6A">
      <w:pPr>
        <w:pStyle w:val="ListParagraph"/>
        <w:jc w:val="both"/>
        <w:rPr>
          <w:rFonts w:ascii="Georgia" w:hAnsi="Georgia"/>
          <w:color w:val="000000" w:themeColor="text1"/>
          <w:sz w:val="20"/>
          <w:szCs w:val="20"/>
          <w:lang w:eastAsia="en-US"/>
        </w:rPr>
      </w:pPr>
    </w:p>
    <w:p w14:paraId="3B1A88A0" w14:textId="77777777" w:rsidR="00004E6A" w:rsidRPr="004755B4" w:rsidRDefault="00004E6A" w:rsidP="00004E6A">
      <w:pPr>
        <w:pStyle w:val="ListParagraph"/>
        <w:numPr>
          <w:ilvl w:val="0"/>
          <w:numId w:val="18"/>
        </w:numPr>
        <w:jc w:val="both"/>
        <w:rPr>
          <w:rFonts w:ascii="Georgia" w:eastAsia="Times New Roman" w:hAnsi="Georgia"/>
          <w:sz w:val="20"/>
          <w:szCs w:val="20"/>
        </w:rPr>
      </w:pPr>
      <w:r>
        <w:rPr>
          <w:rFonts w:ascii="Georgia" w:eastAsia="Times New Roman" w:hAnsi="Georgia"/>
          <w:sz w:val="20"/>
          <w:szCs w:val="20"/>
        </w:rPr>
        <w:t xml:space="preserve">In the month of </w:t>
      </w:r>
      <w:proofErr w:type="gramStart"/>
      <w:r>
        <w:rPr>
          <w:rFonts w:ascii="Georgia" w:eastAsia="Times New Roman" w:hAnsi="Georgia"/>
          <w:sz w:val="20"/>
          <w:szCs w:val="20"/>
        </w:rPr>
        <w:t>August</w:t>
      </w:r>
      <w:proofErr w:type="gramEnd"/>
      <w:r>
        <w:rPr>
          <w:rFonts w:ascii="Georgia" w:eastAsia="Times New Roman" w:hAnsi="Georgia"/>
          <w:sz w:val="20"/>
          <w:szCs w:val="20"/>
        </w:rPr>
        <w:t xml:space="preserve"> we p</w:t>
      </w:r>
      <w:r w:rsidRPr="004755B4">
        <w:rPr>
          <w:rFonts w:ascii="Georgia" w:eastAsia="Times New Roman" w:hAnsi="Georgia"/>
          <w:sz w:val="20"/>
          <w:szCs w:val="20"/>
        </w:rPr>
        <w:t>articipated the virtual event “Partnership Exchange</w:t>
      </w:r>
      <w:r>
        <w:rPr>
          <w:rFonts w:ascii="Georgia" w:eastAsia="Times New Roman" w:hAnsi="Georgia"/>
          <w:sz w:val="20"/>
          <w:szCs w:val="20"/>
        </w:rPr>
        <w:t>-Mexico</w:t>
      </w:r>
      <w:r w:rsidRPr="004755B4">
        <w:rPr>
          <w:rFonts w:ascii="Georgia" w:eastAsia="Times New Roman" w:hAnsi="Georgia"/>
          <w:sz w:val="20"/>
          <w:szCs w:val="20"/>
        </w:rPr>
        <w:t>” organized by American Express GBT</w:t>
      </w:r>
      <w:r>
        <w:rPr>
          <w:rFonts w:ascii="Georgia" w:eastAsia="Times New Roman" w:hAnsi="Georgia"/>
          <w:sz w:val="20"/>
          <w:szCs w:val="20"/>
        </w:rPr>
        <w:t xml:space="preserve"> and had the opportunity to speak with the sales and account managers team. All commented </w:t>
      </w:r>
      <w:r w:rsidRPr="004755B4">
        <w:rPr>
          <w:rFonts w:ascii="Georgia" w:eastAsia="Times New Roman" w:hAnsi="Georgia"/>
          <w:sz w:val="20"/>
          <w:szCs w:val="20"/>
        </w:rPr>
        <w:t xml:space="preserve">that </w:t>
      </w:r>
      <w:r>
        <w:rPr>
          <w:rFonts w:ascii="Georgia" w:eastAsia="Times New Roman" w:hAnsi="Georgia"/>
          <w:sz w:val="20"/>
          <w:szCs w:val="20"/>
        </w:rPr>
        <w:t xml:space="preserve">according to their </w:t>
      </w:r>
      <w:proofErr w:type="gramStart"/>
      <w:r>
        <w:rPr>
          <w:rFonts w:ascii="Georgia" w:eastAsia="Times New Roman" w:hAnsi="Georgia"/>
          <w:sz w:val="20"/>
          <w:szCs w:val="20"/>
        </w:rPr>
        <w:t>clients</w:t>
      </w:r>
      <w:proofErr w:type="gramEnd"/>
      <w:r>
        <w:rPr>
          <w:rFonts w:ascii="Georgia" w:eastAsia="Times New Roman" w:hAnsi="Georgia"/>
          <w:sz w:val="20"/>
          <w:szCs w:val="20"/>
        </w:rPr>
        <w:t xml:space="preserve"> </w:t>
      </w:r>
      <w:r w:rsidRPr="004755B4">
        <w:rPr>
          <w:rFonts w:ascii="Georgia" w:eastAsia="Times New Roman" w:hAnsi="Georgia"/>
          <w:sz w:val="20"/>
          <w:szCs w:val="20"/>
        </w:rPr>
        <w:t>corporate trips in Mexico will start to take off in Q1 2022</w:t>
      </w:r>
    </w:p>
    <w:p w14:paraId="03F8440F" w14:textId="77777777" w:rsidR="00004E6A" w:rsidRDefault="00004E6A" w:rsidP="00004E6A">
      <w:pPr>
        <w:jc w:val="both"/>
        <w:rPr>
          <w:rFonts w:ascii="Georgia" w:eastAsia="Times New Roman" w:hAnsi="Georgia" w:cs="Calibri"/>
          <w:sz w:val="20"/>
          <w:szCs w:val="20"/>
        </w:rPr>
      </w:pPr>
    </w:p>
    <w:p w14:paraId="6657B66F" w14:textId="77777777" w:rsidR="00004E6A" w:rsidRPr="00113CB9" w:rsidRDefault="00004E6A" w:rsidP="00004E6A">
      <w:pPr>
        <w:pStyle w:val="ListParagraph"/>
        <w:numPr>
          <w:ilvl w:val="0"/>
          <w:numId w:val="18"/>
        </w:numPr>
        <w:jc w:val="both"/>
        <w:rPr>
          <w:rFonts w:ascii="Georgia" w:hAnsi="Georgia"/>
          <w:color w:val="000000" w:themeColor="text1"/>
          <w:sz w:val="20"/>
          <w:szCs w:val="20"/>
          <w:lang w:eastAsia="en-US"/>
        </w:rPr>
      </w:pPr>
      <w:r w:rsidRPr="00113CB9">
        <w:rPr>
          <w:rFonts w:ascii="Georgia" w:eastAsia="Times New Roman" w:hAnsi="Georgia"/>
          <w:sz w:val="20"/>
          <w:szCs w:val="20"/>
        </w:rPr>
        <w:t xml:space="preserve">The International Airport of Monterrey City will welcome a new flight connecting with Madrid, Spain starting on December 16th they will offer three weekly flights operated by </w:t>
      </w:r>
      <w:proofErr w:type="spellStart"/>
      <w:r w:rsidRPr="00113CB9">
        <w:rPr>
          <w:rFonts w:ascii="Georgia" w:eastAsia="Times New Roman" w:hAnsi="Georgia"/>
          <w:sz w:val="20"/>
          <w:szCs w:val="20"/>
        </w:rPr>
        <w:t>Aeroméxico</w:t>
      </w:r>
      <w:proofErr w:type="spellEnd"/>
      <w:r w:rsidRPr="00113CB9">
        <w:rPr>
          <w:rFonts w:ascii="Georgia" w:eastAsia="Times New Roman" w:hAnsi="Georgia"/>
          <w:sz w:val="20"/>
          <w:szCs w:val="20"/>
        </w:rPr>
        <w:t xml:space="preserve"> Airlines</w:t>
      </w:r>
    </w:p>
    <w:p w14:paraId="4DFEA900" w14:textId="77777777" w:rsidR="00004E6A" w:rsidRDefault="00004E6A" w:rsidP="00004E6A">
      <w:pPr>
        <w:pStyle w:val="ListParagraph"/>
        <w:contextualSpacing/>
        <w:rPr>
          <w:rFonts w:ascii="Georgia" w:eastAsia="Times New Roman" w:hAnsi="Georgia"/>
          <w:sz w:val="20"/>
          <w:szCs w:val="20"/>
        </w:rPr>
      </w:pPr>
      <w:r w:rsidRPr="00F35E49">
        <w:rPr>
          <w:rFonts w:ascii="Georgia" w:eastAsia="Times New Roman" w:hAnsi="Georgia"/>
          <w:sz w:val="20"/>
          <w:szCs w:val="20"/>
        </w:rPr>
        <w:t>Viva Air, a leading low cost international airline in Colombia and Peru, began its international expansion with strategic connections to and from Mexico, the airline began operating the direct routes Bogota – Mexico </w:t>
      </w:r>
      <w:proofErr w:type="gramStart"/>
      <w:r w:rsidRPr="00F35E49">
        <w:rPr>
          <w:rFonts w:ascii="Georgia" w:eastAsia="Times New Roman" w:hAnsi="Georgia"/>
          <w:sz w:val="20"/>
          <w:szCs w:val="20"/>
        </w:rPr>
        <w:t>City  and</w:t>
      </w:r>
      <w:proofErr w:type="gramEnd"/>
      <w:r w:rsidRPr="00F35E49">
        <w:rPr>
          <w:rFonts w:ascii="Georgia" w:eastAsia="Times New Roman" w:hAnsi="Georgia"/>
          <w:sz w:val="20"/>
          <w:szCs w:val="20"/>
        </w:rPr>
        <w:t xml:space="preserve"> Medellin - Cancun and Medellín - Mexico City in Q3 </w:t>
      </w:r>
    </w:p>
    <w:p w14:paraId="3DA63553" w14:textId="77777777" w:rsidR="00004E6A" w:rsidRDefault="00004E6A" w:rsidP="00004E6A">
      <w:pPr>
        <w:jc w:val="both"/>
        <w:rPr>
          <w:rFonts w:ascii="Georgia" w:hAnsi="Georgia"/>
          <w:color w:val="000000" w:themeColor="text1"/>
          <w:sz w:val="20"/>
          <w:szCs w:val="20"/>
          <w:lang w:eastAsia="en-US"/>
        </w:rPr>
      </w:pPr>
    </w:p>
    <w:p w14:paraId="2C588034" w14:textId="77777777" w:rsidR="00004E6A" w:rsidRPr="002E0120" w:rsidRDefault="00004E6A" w:rsidP="00004E6A">
      <w:pPr>
        <w:pStyle w:val="ListParagraph"/>
        <w:numPr>
          <w:ilvl w:val="0"/>
          <w:numId w:val="18"/>
        </w:numPr>
        <w:jc w:val="both"/>
        <w:rPr>
          <w:rFonts w:ascii="Georgia" w:eastAsia="Times New Roman" w:hAnsi="Georgia"/>
          <w:sz w:val="20"/>
          <w:szCs w:val="20"/>
        </w:rPr>
      </w:pPr>
      <w:r w:rsidRPr="002E0120">
        <w:rPr>
          <w:rFonts w:ascii="Georgia" w:eastAsia="Times New Roman" w:hAnsi="Georgia"/>
          <w:sz w:val="20"/>
          <w:szCs w:val="20"/>
        </w:rPr>
        <w:t xml:space="preserve">We participated in “ILTM North America” (Cancun) which was a great event. Meet with Luxury travel advisors from: Canada, United States and Mexico. </w:t>
      </w:r>
    </w:p>
    <w:p w14:paraId="5A3B1691" w14:textId="77777777" w:rsidR="00004E6A" w:rsidRDefault="00004E6A" w:rsidP="00004E6A">
      <w:pPr>
        <w:jc w:val="both"/>
        <w:rPr>
          <w:rFonts w:ascii="Georgia" w:eastAsia="Times New Roman" w:hAnsi="Georgia" w:cs="Calibri"/>
          <w:sz w:val="20"/>
          <w:szCs w:val="20"/>
        </w:rPr>
      </w:pPr>
    </w:p>
    <w:p w14:paraId="27DDA40D" w14:textId="77777777" w:rsidR="00004E6A" w:rsidRDefault="00004E6A" w:rsidP="00004E6A">
      <w:pPr>
        <w:pStyle w:val="ListParagraph"/>
        <w:numPr>
          <w:ilvl w:val="0"/>
          <w:numId w:val="18"/>
        </w:numPr>
        <w:jc w:val="both"/>
      </w:pPr>
      <w:r w:rsidRPr="002E0120">
        <w:rPr>
          <w:rFonts w:ascii="Georgia" w:eastAsia="Times New Roman" w:hAnsi="Georgia"/>
          <w:sz w:val="20"/>
          <w:szCs w:val="20"/>
        </w:rPr>
        <w:t xml:space="preserve">In the period January-July of 2021 United States citizens arrivals by air stands out, representing 78.9% of total, from Canada was 1.0%, while the European region had an 6.3% participation in total, corresponding 0.9% to French citizens, South America region represented 9.3% of total, Colombia and Brazil citizens participated with 2.5% and 2.2% of total, in same period of 2020. The U.S. citizens who arrived </w:t>
      </w:r>
      <w:proofErr w:type="gramStart"/>
      <w:r w:rsidRPr="002E0120">
        <w:rPr>
          <w:rFonts w:ascii="Georgia" w:eastAsia="Times New Roman" w:hAnsi="Georgia"/>
          <w:sz w:val="20"/>
          <w:szCs w:val="20"/>
        </w:rPr>
        <w:t>to</w:t>
      </w:r>
      <w:proofErr w:type="gramEnd"/>
      <w:r w:rsidRPr="002E0120">
        <w:rPr>
          <w:rFonts w:ascii="Georgia" w:eastAsia="Times New Roman" w:hAnsi="Georgia"/>
          <w:sz w:val="20"/>
          <w:szCs w:val="20"/>
        </w:rPr>
        <w:t xml:space="preserve"> Mexico by air increased +104.1% during January-July 2021 compared to the same period of 2020, registering 5 million 654 thousand passengers who arrived firstly at the Cancun Airport, followed by Los Cabos Airport</w:t>
      </w:r>
      <w:r>
        <w:t>.</w:t>
      </w:r>
    </w:p>
    <w:p w14:paraId="7CEB455C" w14:textId="77777777" w:rsidR="00004E6A" w:rsidRDefault="00004E6A" w:rsidP="00004E6A">
      <w:pPr>
        <w:pStyle w:val="ListParagraph"/>
        <w:jc w:val="both"/>
        <w:rPr>
          <w:rFonts w:ascii="Georgia" w:eastAsia="Times New Roman" w:hAnsi="Georgia"/>
          <w:sz w:val="20"/>
          <w:szCs w:val="20"/>
        </w:rPr>
      </w:pPr>
    </w:p>
    <w:p w14:paraId="68D0D4ED" w14:textId="77777777" w:rsidR="00004E6A" w:rsidRDefault="00004E6A" w:rsidP="00004E6A">
      <w:pPr>
        <w:pStyle w:val="ListParagraph"/>
        <w:numPr>
          <w:ilvl w:val="0"/>
          <w:numId w:val="18"/>
        </w:numPr>
        <w:jc w:val="both"/>
        <w:rPr>
          <w:rFonts w:ascii="Georgia" w:eastAsia="Times New Roman" w:hAnsi="Georgia"/>
          <w:sz w:val="20"/>
          <w:szCs w:val="20"/>
        </w:rPr>
      </w:pPr>
      <w:r w:rsidRPr="007C2B2B">
        <w:rPr>
          <w:rFonts w:ascii="Georgia" w:eastAsia="Times New Roman" w:hAnsi="Georgia"/>
          <w:sz w:val="20"/>
          <w:szCs w:val="20"/>
        </w:rPr>
        <w:t xml:space="preserve">Business travel industry sentiment continues to waver, due to ongoing uncertainty around the Delta variant and other variants. However, indicators show companies and their corporate travel managers may be looking at new focus areas and ways of working for their business travel program. This is according to the latest poll from The Global Business Travel Association (GBTA). INTERNATIONAL BUSINESS TRAVEL REMAINS STALLED, DOMESTIC STAYS CONSISTENT. In line with August poll results, respondents in September report non-essential domestic business travel (61%) </w:t>
      </w:r>
      <w:proofErr w:type="gramStart"/>
      <w:r w:rsidRPr="007C2B2B">
        <w:rPr>
          <w:rFonts w:ascii="Georgia" w:eastAsia="Times New Roman" w:hAnsi="Georgia"/>
          <w:sz w:val="20"/>
          <w:szCs w:val="20"/>
        </w:rPr>
        <w:t>is</w:t>
      </w:r>
      <w:proofErr w:type="gramEnd"/>
      <w:r w:rsidRPr="007C2B2B">
        <w:rPr>
          <w:rFonts w:ascii="Georgia" w:eastAsia="Times New Roman" w:hAnsi="Georgia"/>
          <w:sz w:val="20"/>
          <w:szCs w:val="20"/>
        </w:rPr>
        <w:t xml:space="preserve"> more frequently allowed than non-essential international business travel (34%). </w:t>
      </w:r>
    </w:p>
    <w:p w14:paraId="2E8587B4" w14:textId="77777777" w:rsidR="00004E6A" w:rsidRPr="00B705AE" w:rsidRDefault="00004E6A" w:rsidP="00004E6A">
      <w:pPr>
        <w:pStyle w:val="ListParagraph"/>
        <w:rPr>
          <w:rFonts w:ascii="Georgia" w:eastAsia="Times New Roman" w:hAnsi="Georgia"/>
          <w:sz w:val="20"/>
          <w:szCs w:val="20"/>
        </w:rPr>
      </w:pPr>
    </w:p>
    <w:p w14:paraId="53B3C4AE" w14:textId="6FFBDDE5" w:rsidR="00004E6A" w:rsidRPr="007C2B2B" w:rsidRDefault="00004E6A" w:rsidP="00004E6A">
      <w:pPr>
        <w:pStyle w:val="ListParagraph"/>
        <w:jc w:val="both"/>
        <w:rPr>
          <w:rFonts w:ascii="Georgia" w:eastAsia="Times New Roman" w:hAnsi="Georgia"/>
          <w:sz w:val="20"/>
          <w:szCs w:val="20"/>
        </w:rPr>
      </w:pPr>
      <w:r>
        <w:rPr>
          <w:rFonts w:ascii="Georgia" w:eastAsia="Times New Roman" w:hAnsi="Georgia"/>
          <w:sz w:val="20"/>
          <w:szCs w:val="20"/>
        </w:rPr>
        <w:t>In</w:t>
      </w:r>
      <w:r w:rsidRPr="007C2B2B">
        <w:rPr>
          <w:rFonts w:ascii="Georgia" w:eastAsia="Times New Roman" w:hAnsi="Georgia"/>
          <w:sz w:val="20"/>
          <w:szCs w:val="20"/>
        </w:rPr>
        <w:t xml:space="preserve"> September, six in 10 travel (66%) report due to the pandemic, their roles as buyers and procurement professionals at companies has changed “slightly” to “a lot.” This includes:</w:t>
      </w:r>
    </w:p>
    <w:p w14:paraId="1AABC4E3" w14:textId="7466FB95" w:rsidR="0071072A" w:rsidRPr="00004E6A" w:rsidRDefault="00004E6A" w:rsidP="00004E6A">
      <w:pPr>
        <w:ind w:left="720"/>
        <w:jc w:val="both"/>
        <w:rPr>
          <w:rFonts w:ascii="Georgia" w:eastAsia="Times New Roman" w:hAnsi="Georgia" w:cs="Calibri"/>
          <w:sz w:val="20"/>
          <w:szCs w:val="20"/>
        </w:rPr>
      </w:pPr>
      <w:r w:rsidRPr="00D52137">
        <w:rPr>
          <w:rFonts w:ascii="Georgia" w:eastAsia="Times New Roman" w:hAnsi="Georgia" w:cs="Calibri"/>
          <w:sz w:val="20"/>
          <w:szCs w:val="20"/>
        </w:rPr>
        <w:t>collaborating more closely with other departments (71%) such as Human Resources, Finance, Legal, Risk Management or other teams</w:t>
      </w:r>
      <w:r>
        <w:rPr>
          <w:rFonts w:ascii="Georgia" w:eastAsia="Times New Roman" w:hAnsi="Georgia" w:cs="Calibri"/>
          <w:sz w:val="20"/>
          <w:szCs w:val="20"/>
        </w:rPr>
        <w:t xml:space="preserve"> </w:t>
      </w:r>
      <w:r w:rsidRPr="00D52137">
        <w:rPr>
          <w:rFonts w:ascii="Georgia" w:eastAsia="Times New Roman" w:hAnsi="Georgia" w:cs="Calibri"/>
          <w:sz w:val="20"/>
          <w:szCs w:val="20"/>
        </w:rPr>
        <w:t>elevating duty of care as a higher priority in the company (70%)</w:t>
      </w:r>
      <w:r>
        <w:rPr>
          <w:rFonts w:ascii="Georgia" w:eastAsia="Times New Roman" w:hAnsi="Georgia" w:cs="Calibri"/>
          <w:sz w:val="20"/>
          <w:szCs w:val="20"/>
        </w:rPr>
        <w:t xml:space="preserve"> </w:t>
      </w:r>
      <w:r w:rsidRPr="00D52137">
        <w:rPr>
          <w:rFonts w:ascii="Georgia" w:eastAsia="Times New Roman" w:hAnsi="Georgia" w:cs="Calibri"/>
          <w:sz w:val="20"/>
          <w:szCs w:val="20"/>
        </w:rPr>
        <w:t>developing new approaches or revisions to current corporate travel guidelines (69%)</w:t>
      </w:r>
      <w:r>
        <w:rPr>
          <w:rFonts w:ascii="Georgia" w:eastAsia="Times New Roman" w:hAnsi="Georgia" w:cs="Calibri"/>
          <w:sz w:val="20"/>
          <w:szCs w:val="20"/>
        </w:rPr>
        <w:t xml:space="preserve"> </w:t>
      </w:r>
      <w:r w:rsidRPr="00D52137">
        <w:rPr>
          <w:rFonts w:ascii="Georgia" w:eastAsia="Times New Roman" w:hAnsi="Georgia" w:cs="Calibri"/>
          <w:sz w:val="20"/>
          <w:szCs w:val="20"/>
        </w:rPr>
        <w:t>serving on new cross-department committees or task forces (44%)</w:t>
      </w:r>
      <w:r>
        <w:rPr>
          <w:rFonts w:ascii="Georgia" w:eastAsia="Times New Roman" w:hAnsi="Georgia" w:cs="Calibri"/>
          <w:sz w:val="20"/>
          <w:szCs w:val="20"/>
        </w:rPr>
        <w:t xml:space="preserve"> </w:t>
      </w:r>
      <w:r w:rsidRPr="00D52137">
        <w:rPr>
          <w:rFonts w:ascii="Georgia" w:eastAsia="Times New Roman" w:hAnsi="Georgia" w:cs="Calibri"/>
          <w:sz w:val="20"/>
          <w:szCs w:val="20"/>
        </w:rPr>
        <w:t>incorporating or prioritizing more sustainability policies in the company’s travel program (40%). When it came to sustainability policies, respondents based in Europe (55%) are more likely than in North America (35%) to say this focus is now more part of their role than before the pandemic.</w:t>
      </w:r>
    </w:p>
    <w:p w14:paraId="09DC8668" w14:textId="77777777" w:rsidR="00E63463" w:rsidRPr="00802348" w:rsidRDefault="00E63463" w:rsidP="00E63463">
      <w:pPr>
        <w:pStyle w:val="ListParagraph"/>
        <w:rPr>
          <w:rFonts w:ascii="Georgia" w:hAnsi="Georgia" w:cs="Times New Roman"/>
          <w:color w:val="000000" w:themeColor="text1"/>
        </w:rPr>
      </w:pPr>
    </w:p>
    <w:p w14:paraId="797A4D59" w14:textId="355221B9" w:rsidR="00B158A2" w:rsidRPr="00802348" w:rsidRDefault="00B158A2" w:rsidP="00B158A2">
      <w:pPr>
        <w:pStyle w:val="NoSpacing"/>
        <w:jc w:val="center"/>
        <w:rPr>
          <w:rFonts w:ascii="Georgia" w:hAnsi="Georgia" w:cs="Times New Roman"/>
          <w:b/>
          <w:color w:val="000000" w:themeColor="text1"/>
          <w:u w:val="single"/>
        </w:rPr>
      </w:pPr>
      <w:r w:rsidRPr="00802348">
        <w:rPr>
          <w:rFonts w:ascii="Georgia" w:hAnsi="Georgia" w:cs="Times New Roman"/>
          <w:b/>
          <w:color w:val="000000" w:themeColor="text1"/>
          <w:u w:val="single"/>
        </w:rPr>
        <w:t>Contact for this market</w:t>
      </w:r>
      <w:r w:rsidR="00AA2755" w:rsidRPr="00802348">
        <w:rPr>
          <w:rFonts w:ascii="Georgia" w:hAnsi="Georgia" w:cs="Times New Roman"/>
          <w:b/>
          <w:color w:val="000000" w:themeColor="text1"/>
          <w:u w:val="single"/>
        </w:rPr>
        <w:t xml:space="preserve">: </w:t>
      </w:r>
      <w:r w:rsidRPr="00802348">
        <w:rPr>
          <w:rFonts w:ascii="Georgia" w:hAnsi="Georgia" w:cs="Times New Roman"/>
          <w:b/>
          <w:color w:val="000000" w:themeColor="text1"/>
          <w:u w:val="single"/>
        </w:rPr>
        <w:t xml:space="preserve">Karina Blanchet </w:t>
      </w:r>
    </w:p>
    <w:p w14:paraId="797A4D5A" w14:textId="77777777" w:rsidR="00B158A2" w:rsidRPr="00802348" w:rsidRDefault="00B158A2" w:rsidP="00B158A2">
      <w:pPr>
        <w:pStyle w:val="NoSpacing"/>
        <w:jc w:val="center"/>
        <w:rPr>
          <w:rFonts w:ascii="Georgia" w:hAnsi="Georgia" w:cs="Times New Roman"/>
          <w:b/>
          <w:color w:val="000000" w:themeColor="text1"/>
          <w:u w:val="single"/>
        </w:rPr>
      </w:pPr>
      <w:r w:rsidRPr="00802348">
        <w:rPr>
          <w:rFonts w:ascii="Georgia" w:hAnsi="Georgia" w:cs="Times New Roman"/>
          <w:b/>
          <w:color w:val="000000" w:themeColor="text1"/>
          <w:u w:val="single"/>
        </w:rPr>
        <w:t>based in Mexico City</w:t>
      </w:r>
    </w:p>
    <w:p w14:paraId="797A4D5B" w14:textId="77777777" w:rsidR="00B158A2" w:rsidRPr="00802348" w:rsidRDefault="005500F6" w:rsidP="00B158A2">
      <w:pPr>
        <w:pStyle w:val="NoSpacing"/>
        <w:jc w:val="center"/>
        <w:rPr>
          <w:rFonts w:ascii="Georgia" w:hAnsi="Georgia" w:cs="Times New Roman"/>
          <w:b/>
        </w:rPr>
      </w:pPr>
      <w:hyperlink r:id="rId9" w:history="1">
        <w:r w:rsidR="00B158A2" w:rsidRPr="00802348">
          <w:rPr>
            <w:rStyle w:val="Hyperlink"/>
            <w:rFonts w:ascii="Georgia" w:hAnsi="Georgia" w:cs="Times New Roman"/>
            <w:b/>
          </w:rPr>
          <w:t>kblanchet@preferredhotels.com</w:t>
        </w:r>
      </w:hyperlink>
    </w:p>
    <w:sectPr w:rsidR="00B158A2" w:rsidRPr="00802348" w:rsidSect="0080234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7C3726" w14:textId="77777777" w:rsidR="005500F6" w:rsidRDefault="005500F6" w:rsidP="005839DC">
      <w:pPr>
        <w:spacing w:after="0" w:line="240" w:lineRule="auto"/>
      </w:pPr>
      <w:r>
        <w:separator/>
      </w:r>
    </w:p>
  </w:endnote>
  <w:endnote w:type="continuationSeparator" w:id="0">
    <w:p w14:paraId="0CDF8B85" w14:textId="77777777" w:rsidR="005500F6" w:rsidRDefault="005500F6" w:rsidP="005839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8E7EF" w14:textId="77777777" w:rsidR="005500F6" w:rsidRDefault="005500F6" w:rsidP="005839DC">
      <w:pPr>
        <w:spacing w:after="0" w:line="240" w:lineRule="auto"/>
      </w:pPr>
      <w:r>
        <w:separator/>
      </w:r>
    </w:p>
  </w:footnote>
  <w:footnote w:type="continuationSeparator" w:id="0">
    <w:p w14:paraId="60FDE504" w14:textId="77777777" w:rsidR="005500F6" w:rsidRDefault="005500F6" w:rsidP="005839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66C65"/>
    <w:multiLevelType w:val="hybridMultilevel"/>
    <w:tmpl w:val="35649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BB2663"/>
    <w:multiLevelType w:val="hybridMultilevel"/>
    <w:tmpl w:val="CEAC1752"/>
    <w:lvl w:ilvl="0" w:tplc="080A000D">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 w15:restartNumberingAfterBreak="0">
    <w:nsid w:val="08F43069"/>
    <w:multiLevelType w:val="hybridMultilevel"/>
    <w:tmpl w:val="DB2E1C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CEA23F0"/>
    <w:multiLevelType w:val="hybridMultilevel"/>
    <w:tmpl w:val="027CCAA8"/>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102D34F7"/>
    <w:multiLevelType w:val="hybridMultilevel"/>
    <w:tmpl w:val="61D0C44A"/>
    <w:lvl w:ilvl="0" w:tplc="080A000F">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 w15:restartNumberingAfterBreak="0">
    <w:nsid w:val="2207155B"/>
    <w:multiLevelType w:val="hybridMultilevel"/>
    <w:tmpl w:val="EF8201F4"/>
    <w:lvl w:ilvl="0" w:tplc="0409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92172FB"/>
    <w:multiLevelType w:val="hybridMultilevel"/>
    <w:tmpl w:val="11FEAD5E"/>
    <w:lvl w:ilvl="0" w:tplc="0409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A3133BF"/>
    <w:multiLevelType w:val="hybridMultilevel"/>
    <w:tmpl w:val="C11C046C"/>
    <w:lvl w:ilvl="0" w:tplc="080A0011">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 w15:restartNumberingAfterBreak="0">
    <w:nsid w:val="416E4DEB"/>
    <w:multiLevelType w:val="hybridMultilevel"/>
    <w:tmpl w:val="C11C046C"/>
    <w:lvl w:ilvl="0" w:tplc="080A0011">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9" w15:restartNumberingAfterBreak="0">
    <w:nsid w:val="472A683A"/>
    <w:multiLevelType w:val="hybridMultilevel"/>
    <w:tmpl w:val="840C3EFA"/>
    <w:lvl w:ilvl="0" w:tplc="C4C40984">
      <w:numFmt w:val="bullet"/>
      <w:lvlText w:val=""/>
      <w:lvlJc w:val="left"/>
      <w:pPr>
        <w:ind w:left="420" w:hanging="360"/>
      </w:pPr>
      <w:rPr>
        <w:rFonts w:ascii="Symbol" w:eastAsiaTheme="minorEastAsia" w:hAnsi="Symbol"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0" w15:restartNumberingAfterBreak="0">
    <w:nsid w:val="4BF52E8E"/>
    <w:multiLevelType w:val="hybridMultilevel"/>
    <w:tmpl w:val="1744E9A6"/>
    <w:lvl w:ilvl="0" w:tplc="04070001">
      <w:start w:val="1"/>
      <w:numFmt w:val="bullet"/>
      <w:lvlText w:val=""/>
      <w:lvlJc w:val="left"/>
      <w:pPr>
        <w:tabs>
          <w:tab w:val="num" w:pos="720"/>
        </w:tabs>
        <w:ind w:left="720" w:hanging="360"/>
      </w:pPr>
      <w:rPr>
        <w:rFonts w:ascii="Symbol" w:hAnsi="Symbol" w:hint="default"/>
      </w:rPr>
    </w:lvl>
    <w:lvl w:ilvl="1" w:tplc="0407000B">
      <w:start w:val="1"/>
      <w:numFmt w:val="bullet"/>
      <w:lvlText w:val=""/>
      <w:lvlJc w:val="left"/>
      <w:pPr>
        <w:tabs>
          <w:tab w:val="num" w:pos="1440"/>
        </w:tabs>
        <w:ind w:left="1440" w:hanging="360"/>
      </w:pPr>
      <w:rPr>
        <w:rFonts w:ascii="Wingdings" w:hAnsi="Wingdings" w:hint="default"/>
      </w:rPr>
    </w:lvl>
    <w:lvl w:ilvl="2" w:tplc="04070001">
      <w:start w:val="1"/>
      <w:numFmt w:val="bullet"/>
      <w:lvlText w:val=""/>
      <w:lvlJc w:val="left"/>
      <w:pPr>
        <w:tabs>
          <w:tab w:val="num" w:pos="2160"/>
        </w:tabs>
        <w:ind w:left="2160" w:hanging="360"/>
      </w:pPr>
      <w:rPr>
        <w:rFonts w:ascii="Symbol" w:hAnsi="Symbol"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FF93F01"/>
    <w:multiLevelType w:val="hybridMultilevel"/>
    <w:tmpl w:val="6EE48F58"/>
    <w:lvl w:ilvl="0" w:tplc="0409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508D756F"/>
    <w:multiLevelType w:val="hybridMultilevel"/>
    <w:tmpl w:val="303E26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5194634F"/>
    <w:multiLevelType w:val="hybridMultilevel"/>
    <w:tmpl w:val="47505C3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0B4E0A"/>
    <w:multiLevelType w:val="hybridMultilevel"/>
    <w:tmpl w:val="24E0106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F7581F"/>
    <w:multiLevelType w:val="hybridMultilevel"/>
    <w:tmpl w:val="B164F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B3F6E4C"/>
    <w:multiLevelType w:val="hybridMultilevel"/>
    <w:tmpl w:val="64D4B10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2"/>
  </w:num>
  <w:num w:numId="3">
    <w:abstractNumId w:val="2"/>
  </w:num>
  <w:num w:numId="4">
    <w:abstractNumId w:val="10"/>
  </w:num>
  <w:num w:numId="5">
    <w:abstractNumId w:val="15"/>
  </w:num>
  <w:num w:numId="6">
    <w:abstractNumId w:val="12"/>
  </w:num>
  <w:num w:numId="7">
    <w:abstractNumId w:val="0"/>
  </w:num>
  <w:num w:numId="8">
    <w:abstractNumId w:val="13"/>
  </w:num>
  <w:num w:numId="9">
    <w:abstractNumId w:val="16"/>
  </w:num>
  <w:num w:numId="10">
    <w:abstractNumId w:val="14"/>
  </w:num>
  <w:num w:numId="11">
    <w:abstractNumId w:val="6"/>
  </w:num>
  <w:num w:numId="12">
    <w:abstractNumId w:val="4"/>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1"/>
  </w:num>
  <w:num w:numId="16">
    <w:abstractNumId w:val="8"/>
  </w:num>
  <w:num w:numId="17">
    <w:abstractNumId w:val="3"/>
  </w:num>
  <w:num w:numId="18">
    <w:abstractNumId w:val="11"/>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459"/>
    <w:rsid w:val="000031CC"/>
    <w:rsid w:val="00004E6A"/>
    <w:rsid w:val="00006D5E"/>
    <w:rsid w:val="00011E38"/>
    <w:rsid w:val="0001467F"/>
    <w:rsid w:val="000164B1"/>
    <w:rsid w:val="0005635D"/>
    <w:rsid w:val="00063233"/>
    <w:rsid w:val="00066382"/>
    <w:rsid w:val="00074A39"/>
    <w:rsid w:val="00085C0A"/>
    <w:rsid w:val="000A5A51"/>
    <w:rsid w:val="000B56A0"/>
    <w:rsid w:val="000B7E85"/>
    <w:rsid w:val="000C49E8"/>
    <w:rsid w:val="000E79AF"/>
    <w:rsid w:val="000F0157"/>
    <w:rsid w:val="001462AD"/>
    <w:rsid w:val="00150D82"/>
    <w:rsid w:val="00152BF3"/>
    <w:rsid w:val="0015603C"/>
    <w:rsid w:val="00161803"/>
    <w:rsid w:val="0016443D"/>
    <w:rsid w:val="00164488"/>
    <w:rsid w:val="001728B5"/>
    <w:rsid w:val="0017347B"/>
    <w:rsid w:val="001867F2"/>
    <w:rsid w:val="001A0862"/>
    <w:rsid w:val="001A0F4D"/>
    <w:rsid w:val="001B0AFA"/>
    <w:rsid w:val="001F78A6"/>
    <w:rsid w:val="001F7E17"/>
    <w:rsid w:val="00205376"/>
    <w:rsid w:val="002106F9"/>
    <w:rsid w:val="00216AE1"/>
    <w:rsid w:val="00216D1A"/>
    <w:rsid w:val="00241DC8"/>
    <w:rsid w:val="00242D51"/>
    <w:rsid w:val="00251D16"/>
    <w:rsid w:val="00260DA5"/>
    <w:rsid w:val="00261D82"/>
    <w:rsid w:val="002700FC"/>
    <w:rsid w:val="0027236A"/>
    <w:rsid w:val="002A010D"/>
    <w:rsid w:val="002A4993"/>
    <w:rsid w:val="002B3690"/>
    <w:rsid w:val="002C39AB"/>
    <w:rsid w:val="002C4C79"/>
    <w:rsid w:val="002D4920"/>
    <w:rsid w:val="002E1367"/>
    <w:rsid w:val="002E3B95"/>
    <w:rsid w:val="002F3136"/>
    <w:rsid w:val="00303003"/>
    <w:rsid w:val="00313C65"/>
    <w:rsid w:val="003307E2"/>
    <w:rsid w:val="00332142"/>
    <w:rsid w:val="003360DE"/>
    <w:rsid w:val="0033725D"/>
    <w:rsid w:val="003441FC"/>
    <w:rsid w:val="00367FBC"/>
    <w:rsid w:val="00374F8F"/>
    <w:rsid w:val="00375ACE"/>
    <w:rsid w:val="00375D12"/>
    <w:rsid w:val="00393A90"/>
    <w:rsid w:val="00393FE7"/>
    <w:rsid w:val="003A0A5D"/>
    <w:rsid w:val="003A5C4A"/>
    <w:rsid w:val="003A5DB2"/>
    <w:rsid w:val="003A6499"/>
    <w:rsid w:val="003B0AD5"/>
    <w:rsid w:val="003B6377"/>
    <w:rsid w:val="003F7428"/>
    <w:rsid w:val="004173E7"/>
    <w:rsid w:val="004301B2"/>
    <w:rsid w:val="004436A0"/>
    <w:rsid w:val="00453332"/>
    <w:rsid w:val="004627BF"/>
    <w:rsid w:val="0046728C"/>
    <w:rsid w:val="00472619"/>
    <w:rsid w:val="00475BCF"/>
    <w:rsid w:val="004829BA"/>
    <w:rsid w:val="00484BF3"/>
    <w:rsid w:val="004A73C4"/>
    <w:rsid w:val="004D2C14"/>
    <w:rsid w:val="004D5217"/>
    <w:rsid w:val="004F3D68"/>
    <w:rsid w:val="0051412D"/>
    <w:rsid w:val="00520970"/>
    <w:rsid w:val="00535965"/>
    <w:rsid w:val="00535AC5"/>
    <w:rsid w:val="005500F6"/>
    <w:rsid w:val="00550A79"/>
    <w:rsid w:val="00551293"/>
    <w:rsid w:val="0055219F"/>
    <w:rsid w:val="0055757C"/>
    <w:rsid w:val="00572327"/>
    <w:rsid w:val="00581D19"/>
    <w:rsid w:val="005839DC"/>
    <w:rsid w:val="00584532"/>
    <w:rsid w:val="005A4FB8"/>
    <w:rsid w:val="005A65AE"/>
    <w:rsid w:val="005C2A15"/>
    <w:rsid w:val="005C4FC1"/>
    <w:rsid w:val="005C798B"/>
    <w:rsid w:val="005D667B"/>
    <w:rsid w:val="005E2A07"/>
    <w:rsid w:val="005E53EA"/>
    <w:rsid w:val="005E7C30"/>
    <w:rsid w:val="005F5E85"/>
    <w:rsid w:val="0064729C"/>
    <w:rsid w:val="00657D35"/>
    <w:rsid w:val="00664F97"/>
    <w:rsid w:val="006667D2"/>
    <w:rsid w:val="0067779F"/>
    <w:rsid w:val="00683DB5"/>
    <w:rsid w:val="0069413E"/>
    <w:rsid w:val="006A7A2A"/>
    <w:rsid w:val="006B3220"/>
    <w:rsid w:val="006C0507"/>
    <w:rsid w:val="006C0C0A"/>
    <w:rsid w:val="006D15FA"/>
    <w:rsid w:val="006D75A8"/>
    <w:rsid w:val="006E1268"/>
    <w:rsid w:val="006E4421"/>
    <w:rsid w:val="006E4891"/>
    <w:rsid w:val="006F0721"/>
    <w:rsid w:val="00706463"/>
    <w:rsid w:val="0071072A"/>
    <w:rsid w:val="00715C80"/>
    <w:rsid w:val="007175FF"/>
    <w:rsid w:val="00744A80"/>
    <w:rsid w:val="00773B4B"/>
    <w:rsid w:val="00777AE6"/>
    <w:rsid w:val="00780D9A"/>
    <w:rsid w:val="007A03AA"/>
    <w:rsid w:val="007A4A8E"/>
    <w:rsid w:val="007A4CE4"/>
    <w:rsid w:val="007D2459"/>
    <w:rsid w:val="007E413E"/>
    <w:rsid w:val="00802348"/>
    <w:rsid w:val="00804CE4"/>
    <w:rsid w:val="00816232"/>
    <w:rsid w:val="00825340"/>
    <w:rsid w:val="00845C60"/>
    <w:rsid w:val="00852E7A"/>
    <w:rsid w:val="00862FFE"/>
    <w:rsid w:val="00884FE6"/>
    <w:rsid w:val="00886D1C"/>
    <w:rsid w:val="00895CF6"/>
    <w:rsid w:val="008B3E8A"/>
    <w:rsid w:val="008D3FE7"/>
    <w:rsid w:val="008E492C"/>
    <w:rsid w:val="00901540"/>
    <w:rsid w:val="00912016"/>
    <w:rsid w:val="0092232D"/>
    <w:rsid w:val="00936BAF"/>
    <w:rsid w:val="00954C00"/>
    <w:rsid w:val="009627C8"/>
    <w:rsid w:val="0097331D"/>
    <w:rsid w:val="009B2B55"/>
    <w:rsid w:val="009B3BB7"/>
    <w:rsid w:val="009D0EAB"/>
    <w:rsid w:val="009E7D2A"/>
    <w:rsid w:val="009F01F6"/>
    <w:rsid w:val="009F1715"/>
    <w:rsid w:val="00A002BF"/>
    <w:rsid w:val="00A31AC5"/>
    <w:rsid w:val="00A43897"/>
    <w:rsid w:val="00A44BCE"/>
    <w:rsid w:val="00A57868"/>
    <w:rsid w:val="00A66A81"/>
    <w:rsid w:val="00A87964"/>
    <w:rsid w:val="00AA2755"/>
    <w:rsid w:val="00AB75AD"/>
    <w:rsid w:val="00AD2FA2"/>
    <w:rsid w:val="00AD5CD3"/>
    <w:rsid w:val="00AD77A8"/>
    <w:rsid w:val="00AE2A03"/>
    <w:rsid w:val="00AE6C24"/>
    <w:rsid w:val="00B07A7F"/>
    <w:rsid w:val="00B158A2"/>
    <w:rsid w:val="00B357AF"/>
    <w:rsid w:val="00B3783C"/>
    <w:rsid w:val="00B40AA2"/>
    <w:rsid w:val="00B51DBB"/>
    <w:rsid w:val="00B54D6C"/>
    <w:rsid w:val="00B60C2C"/>
    <w:rsid w:val="00B75C1F"/>
    <w:rsid w:val="00B903B0"/>
    <w:rsid w:val="00BA0A6B"/>
    <w:rsid w:val="00BB6B0D"/>
    <w:rsid w:val="00BD2AA1"/>
    <w:rsid w:val="00BF08D3"/>
    <w:rsid w:val="00BF50B3"/>
    <w:rsid w:val="00C04F63"/>
    <w:rsid w:val="00C358F2"/>
    <w:rsid w:val="00C40C5B"/>
    <w:rsid w:val="00C61315"/>
    <w:rsid w:val="00C87B1D"/>
    <w:rsid w:val="00C91B20"/>
    <w:rsid w:val="00CA17AB"/>
    <w:rsid w:val="00CB04B0"/>
    <w:rsid w:val="00CB6F30"/>
    <w:rsid w:val="00CC1A2C"/>
    <w:rsid w:val="00CD28F9"/>
    <w:rsid w:val="00D128F7"/>
    <w:rsid w:val="00D36FB2"/>
    <w:rsid w:val="00D5463B"/>
    <w:rsid w:val="00D923B1"/>
    <w:rsid w:val="00D94F47"/>
    <w:rsid w:val="00DC1CD5"/>
    <w:rsid w:val="00DC4F43"/>
    <w:rsid w:val="00DC6E35"/>
    <w:rsid w:val="00DF6B2A"/>
    <w:rsid w:val="00E03E56"/>
    <w:rsid w:val="00E07270"/>
    <w:rsid w:val="00E11B1B"/>
    <w:rsid w:val="00E273DE"/>
    <w:rsid w:val="00E37523"/>
    <w:rsid w:val="00E63463"/>
    <w:rsid w:val="00E64229"/>
    <w:rsid w:val="00E75CE1"/>
    <w:rsid w:val="00E92A31"/>
    <w:rsid w:val="00E96078"/>
    <w:rsid w:val="00EA68A5"/>
    <w:rsid w:val="00EB67A6"/>
    <w:rsid w:val="00EC64A3"/>
    <w:rsid w:val="00EF11E8"/>
    <w:rsid w:val="00F01F05"/>
    <w:rsid w:val="00F0212A"/>
    <w:rsid w:val="00F37B00"/>
    <w:rsid w:val="00F41C2C"/>
    <w:rsid w:val="00F4333E"/>
    <w:rsid w:val="00F540B5"/>
    <w:rsid w:val="00F61AC4"/>
    <w:rsid w:val="00F637F9"/>
    <w:rsid w:val="00F72378"/>
    <w:rsid w:val="00F81F1C"/>
    <w:rsid w:val="00F84936"/>
    <w:rsid w:val="00F94637"/>
    <w:rsid w:val="00FA4D65"/>
    <w:rsid w:val="00FB6B2D"/>
    <w:rsid w:val="00FB770E"/>
    <w:rsid w:val="00FB7C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7A4D37"/>
  <w15:docId w15:val="{47682B88-BFA3-485D-BA86-DE971D255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D2459"/>
    <w:pPr>
      <w:spacing w:after="0" w:line="240" w:lineRule="auto"/>
    </w:pPr>
  </w:style>
  <w:style w:type="paragraph" w:styleId="BalloonText">
    <w:name w:val="Balloon Text"/>
    <w:basedOn w:val="Normal"/>
    <w:link w:val="BalloonTextChar"/>
    <w:uiPriority w:val="99"/>
    <w:semiHidden/>
    <w:unhideWhenUsed/>
    <w:rsid w:val="007D24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2459"/>
    <w:rPr>
      <w:rFonts w:ascii="Tahoma" w:hAnsi="Tahoma" w:cs="Tahoma"/>
      <w:sz w:val="16"/>
      <w:szCs w:val="16"/>
    </w:rPr>
  </w:style>
  <w:style w:type="paragraph" w:styleId="ListParagraph">
    <w:name w:val="List Paragraph"/>
    <w:basedOn w:val="Normal"/>
    <w:uiPriority w:val="34"/>
    <w:qFormat/>
    <w:rsid w:val="00535AC5"/>
    <w:pPr>
      <w:spacing w:after="0" w:line="240" w:lineRule="auto"/>
      <w:ind w:left="720"/>
    </w:pPr>
    <w:rPr>
      <w:rFonts w:ascii="Calibri" w:hAnsi="Calibri" w:cs="Calibri"/>
    </w:rPr>
  </w:style>
  <w:style w:type="paragraph" w:styleId="Header">
    <w:name w:val="header"/>
    <w:basedOn w:val="Normal"/>
    <w:link w:val="HeaderChar"/>
    <w:uiPriority w:val="99"/>
    <w:unhideWhenUsed/>
    <w:rsid w:val="005839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9DC"/>
  </w:style>
  <w:style w:type="paragraph" w:styleId="Footer">
    <w:name w:val="footer"/>
    <w:basedOn w:val="Normal"/>
    <w:link w:val="FooterChar"/>
    <w:uiPriority w:val="99"/>
    <w:unhideWhenUsed/>
    <w:rsid w:val="005839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9DC"/>
  </w:style>
  <w:style w:type="paragraph" w:styleId="NormalWeb">
    <w:name w:val="Normal (Web)"/>
    <w:basedOn w:val="Normal"/>
    <w:uiPriority w:val="99"/>
    <w:unhideWhenUsed/>
    <w:rsid w:val="00E273DE"/>
    <w:pPr>
      <w:spacing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F78A6"/>
    <w:rPr>
      <w:color w:val="0000FF" w:themeColor="hyperlink"/>
      <w:u w:val="single"/>
    </w:rPr>
  </w:style>
  <w:style w:type="paragraph" w:customStyle="1" w:styleId="Default">
    <w:name w:val="Default"/>
    <w:rsid w:val="00EF11E8"/>
    <w:pPr>
      <w:autoSpaceDE w:val="0"/>
      <w:autoSpaceDN w:val="0"/>
      <w:adjustRightInd w:val="0"/>
      <w:spacing w:after="0" w:line="240" w:lineRule="auto"/>
    </w:pPr>
    <w:rPr>
      <w:rFonts w:ascii="Arial" w:hAnsi="Arial" w:cs="Arial"/>
      <w:color w:val="000000"/>
      <w:sz w:val="24"/>
      <w:szCs w:val="24"/>
    </w:rPr>
  </w:style>
  <w:style w:type="character" w:styleId="Emphasis">
    <w:name w:val="Emphasis"/>
    <w:basedOn w:val="DefaultParagraphFont"/>
    <w:uiPriority w:val="99"/>
    <w:qFormat/>
    <w:rsid w:val="002700FC"/>
    <w:rPr>
      <w:i/>
      <w:iCs/>
    </w:rPr>
  </w:style>
  <w:style w:type="character" w:customStyle="1" w:styleId="tlid-translation">
    <w:name w:val="tlid-translation"/>
    <w:basedOn w:val="DefaultParagraphFont"/>
    <w:rsid w:val="00393A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8549">
      <w:bodyDiv w:val="1"/>
      <w:marLeft w:val="0"/>
      <w:marRight w:val="0"/>
      <w:marTop w:val="0"/>
      <w:marBottom w:val="0"/>
      <w:divBdr>
        <w:top w:val="none" w:sz="0" w:space="0" w:color="auto"/>
        <w:left w:val="none" w:sz="0" w:space="0" w:color="auto"/>
        <w:bottom w:val="none" w:sz="0" w:space="0" w:color="auto"/>
        <w:right w:val="none" w:sz="0" w:space="0" w:color="auto"/>
      </w:divBdr>
    </w:div>
    <w:div w:id="142045673">
      <w:bodyDiv w:val="1"/>
      <w:marLeft w:val="0"/>
      <w:marRight w:val="0"/>
      <w:marTop w:val="0"/>
      <w:marBottom w:val="0"/>
      <w:divBdr>
        <w:top w:val="none" w:sz="0" w:space="0" w:color="auto"/>
        <w:left w:val="none" w:sz="0" w:space="0" w:color="auto"/>
        <w:bottom w:val="none" w:sz="0" w:space="0" w:color="auto"/>
        <w:right w:val="none" w:sz="0" w:space="0" w:color="auto"/>
      </w:divBdr>
    </w:div>
    <w:div w:id="227495240">
      <w:bodyDiv w:val="1"/>
      <w:marLeft w:val="0"/>
      <w:marRight w:val="0"/>
      <w:marTop w:val="0"/>
      <w:marBottom w:val="0"/>
      <w:divBdr>
        <w:top w:val="none" w:sz="0" w:space="0" w:color="auto"/>
        <w:left w:val="none" w:sz="0" w:space="0" w:color="auto"/>
        <w:bottom w:val="none" w:sz="0" w:space="0" w:color="auto"/>
        <w:right w:val="none" w:sz="0" w:space="0" w:color="auto"/>
      </w:divBdr>
      <w:divsChild>
        <w:div w:id="455102383">
          <w:marLeft w:val="0"/>
          <w:marRight w:val="0"/>
          <w:marTop w:val="0"/>
          <w:marBottom w:val="0"/>
          <w:divBdr>
            <w:top w:val="none" w:sz="0" w:space="0" w:color="auto"/>
            <w:left w:val="none" w:sz="0" w:space="0" w:color="auto"/>
            <w:bottom w:val="none" w:sz="0" w:space="0" w:color="auto"/>
            <w:right w:val="none" w:sz="0" w:space="0" w:color="auto"/>
          </w:divBdr>
          <w:divsChild>
            <w:div w:id="1933010491">
              <w:marLeft w:val="0"/>
              <w:marRight w:val="0"/>
              <w:marTop w:val="0"/>
              <w:marBottom w:val="0"/>
              <w:divBdr>
                <w:top w:val="none" w:sz="0" w:space="0" w:color="auto"/>
                <w:left w:val="none" w:sz="0" w:space="0" w:color="auto"/>
                <w:bottom w:val="none" w:sz="0" w:space="0" w:color="auto"/>
                <w:right w:val="none" w:sz="0" w:space="0" w:color="auto"/>
              </w:divBdr>
              <w:divsChild>
                <w:div w:id="2134516518">
                  <w:marLeft w:val="0"/>
                  <w:marRight w:val="0"/>
                  <w:marTop w:val="0"/>
                  <w:marBottom w:val="0"/>
                  <w:divBdr>
                    <w:top w:val="none" w:sz="0" w:space="0" w:color="auto"/>
                    <w:left w:val="none" w:sz="0" w:space="0" w:color="auto"/>
                    <w:bottom w:val="none" w:sz="0" w:space="0" w:color="auto"/>
                    <w:right w:val="none" w:sz="0" w:space="0" w:color="auto"/>
                  </w:divBdr>
                  <w:divsChild>
                    <w:div w:id="935552284">
                      <w:marLeft w:val="0"/>
                      <w:marRight w:val="0"/>
                      <w:marTop w:val="0"/>
                      <w:marBottom w:val="0"/>
                      <w:divBdr>
                        <w:top w:val="none" w:sz="0" w:space="0" w:color="auto"/>
                        <w:left w:val="none" w:sz="0" w:space="0" w:color="auto"/>
                        <w:bottom w:val="none" w:sz="0" w:space="0" w:color="auto"/>
                        <w:right w:val="none" w:sz="0" w:space="0" w:color="auto"/>
                      </w:divBdr>
                      <w:divsChild>
                        <w:div w:id="1491167321">
                          <w:marLeft w:val="0"/>
                          <w:marRight w:val="0"/>
                          <w:marTop w:val="0"/>
                          <w:marBottom w:val="0"/>
                          <w:divBdr>
                            <w:top w:val="none" w:sz="0" w:space="0" w:color="auto"/>
                            <w:left w:val="none" w:sz="0" w:space="0" w:color="auto"/>
                            <w:bottom w:val="none" w:sz="0" w:space="0" w:color="auto"/>
                            <w:right w:val="none" w:sz="0" w:space="0" w:color="auto"/>
                          </w:divBdr>
                          <w:divsChild>
                            <w:div w:id="1549485814">
                              <w:marLeft w:val="0"/>
                              <w:marRight w:val="0"/>
                              <w:marTop w:val="0"/>
                              <w:marBottom w:val="0"/>
                              <w:divBdr>
                                <w:top w:val="none" w:sz="0" w:space="0" w:color="auto"/>
                                <w:left w:val="none" w:sz="0" w:space="0" w:color="auto"/>
                                <w:bottom w:val="none" w:sz="0" w:space="0" w:color="auto"/>
                                <w:right w:val="none" w:sz="0" w:space="0" w:color="auto"/>
                              </w:divBdr>
                              <w:divsChild>
                                <w:div w:id="147021309">
                                  <w:marLeft w:val="0"/>
                                  <w:marRight w:val="0"/>
                                  <w:marTop w:val="0"/>
                                  <w:marBottom w:val="0"/>
                                  <w:divBdr>
                                    <w:top w:val="none" w:sz="0" w:space="0" w:color="auto"/>
                                    <w:left w:val="none" w:sz="0" w:space="0" w:color="auto"/>
                                    <w:bottom w:val="none" w:sz="0" w:space="0" w:color="auto"/>
                                    <w:right w:val="none" w:sz="0" w:space="0" w:color="auto"/>
                                  </w:divBdr>
                                  <w:divsChild>
                                    <w:div w:id="1720324110">
                                      <w:marLeft w:val="0"/>
                                      <w:marRight w:val="0"/>
                                      <w:marTop w:val="0"/>
                                      <w:marBottom w:val="0"/>
                                      <w:divBdr>
                                        <w:top w:val="none" w:sz="0" w:space="0" w:color="auto"/>
                                        <w:left w:val="none" w:sz="0" w:space="0" w:color="auto"/>
                                        <w:bottom w:val="none" w:sz="0" w:space="0" w:color="auto"/>
                                        <w:right w:val="none" w:sz="0" w:space="0" w:color="auto"/>
                                      </w:divBdr>
                                      <w:divsChild>
                                        <w:div w:id="342245263">
                                          <w:marLeft w:val="0"/>
                                          <w:marRight w:val="0"/>
                                          <w:marTop w:val="0"/>
                                          <w:marBottom w:val="0"/>
                                          <w:divBdr>
                                            <w:top w:val="none" w:sz="0" w:space="0" w:color="auto"/>
                                            <w:left w:val="none" w:sz="0" w:space="0" w:color="auto"/>
                                            <w:bottom w:val="none" w:sz="0" w:space="0" w:color="auto"/>
                                            <w:right w:val="none" w:sz="0" w:space="0" w:color="auto"/>
                                          </w:divBdr>
                                          <w:divsChild>
                                            <w:div w:id="1606186033">
                                              <w:marLeft w:val="0"/>
                                              <w:marRight w:val="0"/>
                                              <w:marTop w:val="0"/>
                                              <w:marBottom w:val="495"/>
                                              <w:divBdr>
                                                <w:top w:val="none" w:sz="0" w:space="0" w:color="auto"/>
                                                <w:left w:val="none" w:sz="0" w:space="0" w:color="auto"/>
                                                <w:bottom w:val="none" w:sz="0" w:space="0" w:color="auto"/>
                                                <w:right w:val="none" w:sz="0" w:space="0" w:color="auto"/>
                                              </w:divBdr>
                                              <w:divsChild>
                                                <w:div w:id="946619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70163574">
      <w:bodyDiv w:val="1"/>
      <w:marLeft w:val="0"/>
      <w:marRight w:val="0"/>
      <w:marTop w:val="0"/>
      <w:marBottom w:val="0"/>
      <w:divBdr>
        <w:top w:val="none" w:sz="0" w:space="0" w:color="auto"/>
        <w:left w:val="none" w:sz="0" w:space="0" w:color="auto"/>
        <w:bottom w:val="none" w:sz="0" w:space="0" w:color="auto"/>
        <w:right w:val="none" w:sz="0" w:space="0" w:color="auto"/>
      </w:divBdr>
    </w:div>
    <w:div w:id="732434217">
      <w:bodyDiv w:val="1"/>
      <w:marLeft w:val="0"/>
      <w:marRight w:val="0"/>
      <w:marTop w:val="0"/>
      <w:marBottom w:val="0"/>
      <w:divBdr>
        <w:top w:val="none" w:sz="0" w:space="0" w:color="auto"/>
        <w:left w:val="none" w:sz="0" w:space="0" w:color="auto"/>
        <w:bottom w:val="none" w:sz="0" w:space="0" w:color="auto"/>
        <w:right w:val="none" w:sz="0" w:space="0" w:color="auto"/>
      </w:divBdr>
    </w:div>
    <w:div w:id="811019792">
      <w:bodyDiv w:val="1"/>
      <w:marLeft w:val="0"/>
      <w:marRight w:val="0"/>
      <w:marTop w:val="0"/>
      <w:marBottom w:val="0"/>
      <w:divBdr>
        <w:top w:val="none" w:sz="0" w:space="0" w:color="auto"/>
        <w:left w:val="none" w:sz="0" w:space="0" w:color="auto"/>
        <w:bottom w:val="none" w:sz="0" w:space="0" w:color="auto"/>
        <w:right w:val="none" w:sz="0" w:space="0" w:color="auto"/>
      </w:divBdr>
    </w:div>
    <w:div w:id="1014959134">
      <w:bodyDiv w:val="1"/>
      <w:marLeft w:val="0"/>
      <w:marRight w:val="0"/>
      <w:marTop w:val="0"/>
      <w:marBottom w:val="0"/>
      <w:divBdr>
        <w:top w:val="none" w:sz="0" w:space="0" w:color="auto"/>
        <w:left w:val="none" w:sz="0" w:space="0" w:color="auto"/>
        <w:bottom w:val="none" w:sz="0" w:space="0" w:color="auto"/>
        <w:right w:val="none" w:sz="0" w:space="0" w:color="auto"/>
      </w:divBdr>
      <w:divsChild>
        <w:div w:id="1791047255">
          <w:marLeft w:val="0"/>
          <w:marRight w:val="0"/>
          <w:marTop w:val="100"/>
          <w:marBottom w:val="100"/>
          <w:divBdr>
            <w:top w:val="none" w:sz="0" w:space="0" w:color="auto"/>
            <w:left w:val="none" w:sz="0" w:space="0" w:color="auto"/>
            <w:bottom w:val="none" w:sz="0" w:space="0" w:color="auto"/>
            <w:right w:val="none" w:sz="0" w:space="0" w:color="auto"/>
          </w:divBdr>
          <w:divsChild>
            <w:div w:id="1776094909">
              <w:marLeft w:val="0"/>
              <w:marRight w:val="0"/>
              <w:marTop w:val="0"/>
              <w:marBottom w:val="100"/>
              <w:divBdr>
                <w:top w:val="none" w:sz="0" w:space="0" w:color="auto"/>
                <w:left w:val="none" w:sz="0" w:space="0" w:color="auto"/>
                <w:bottom w:val="none" w:sz="0" w:space="0" w:color="auto"/>
                <w:right w:val="none" w:sz="0" w:space="0" w:color="auto"/>
              </w:divBdr>
              <w:divsChild>
                <w:div w:id="50231023">
                  <w:marLeft w:val="0"/>
                  <w:marRight w:val="0"/>
                  <w:marTop w:val="0"/>
                  <w:marBottom w:val="0"/>
                  <w:divBdr>
                    <w:top w:val="none" w:sz="0" w:space="0" w:color="auto"/>
                    <w:left w:val="none" w:sz="0" w:space="0" w:color="auto"/>
                    <w:bottom w:val="none" w:sz="0" w:space="0" w:color="auto"/>
                    <w:right w:val="none" w:sz="0" w:space="0" w:color="auto"/>
                  </w:divBdr>
                  <w:divsChild>
                    <w:div w:id="1887570501">
                      <w:marLeft w:val="150"/>
                      <w:marRight w:val="150"/>
                      <w:marTop w:val="300"/>
                      <w:marBottom w:val="0"/>
                      <w:divBdr>
                        <w:top w:val="none" w:sz="0" w:space="0" w:color="auto"/>
                        <w:left w:val="none" w:sz="0" w:space="0" w:color="auto"/>
                        <w:bottom w:val="none" w:sz="0" w:space="0" w:color="auto"/>
                        <w:right w:val="none" w:sz="0" w:space="0" w:color="auto"/>
                      </w:divBdr>
                      <w:divsChild>
                        <w:div w:id="51465981">
                          <w:marLeft w:val="150"/>
                          <w:marRight w:val="150"/>
                          <w:marTop w:val="0"/>
                          <w:marBottom w:val="0"/>
                          <w:divBdr>
                            <w:top w:val="none" w:sz="0" w:space="0" w:color="auto"/>
                            <w:left w:val="none" w:sz="0" w:space="0" w:color="auto"/>
                            <w:bottom w:val="none" w:sz="0" w:space="0" w:color="auto"/>
                            <w:right w:val="none" w:sz="0" w:space="0" w:color="auto"/>
                          </w:divBdr>
                          <w:divsChild>
                            <w:div w:id="148538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7175819">
      <w:bodyDiv w:val="1"/>
      <w:marLeft w:val="0"/>
      <w:marRight w:val="0"/>
      <w:marTop w:val="0"/>
      <w:marBottom w:val="0"/>
      <w:divBdr>
        <w:top w:val="none" w:sz="0" w:space="0" w:color="auto"/>
        <w:left w:val="none" w:sz="0" w:space="0" w:color="auto"/>
        <w:bottom w:val="none" w:sz="0" w:space="0" w:color="auto"/>
        <w:right w:val="none" w:sz="0" w:space="0" w:color="auto"/>
      </w:divBdr>
      <w:divsChild>
        <w:div w:id="1234971640">
          <w:marLeft w:val="0"/>
          <w:marRight w:val="0"/>
          <w:marTop w:val="0"/>
          <w:marBottom w:val="0"/>
          <w:divBdr>
            <w:top w:val="none" w:sz="0" w:space="0" w:color="auto"/>
            <w:left w:val="none" w:sz="0" w:space="0" w:color="auto"/>
            <w:bottom w:val="none" w:sz="0" w:space="0" w:color="auto"/>
            <w:right w:val="none" w:sz="0" w:space="0" w:color="auto"/>
          </w:divBdr>
          <w:divsChild>
            <w:div w:id="1805999709">
              <w:marLeft w:val="0"/>
              <w:marRight w:val="0"/>
              <w:marTop w:val="0"/>
              <w:marBottom w:val="0"/>
              <w:divBdr>
                <w:top w:val="none" w:sz="0" w:space="0" w:color="auto"/>
                <w:left w:val="none" w:sz="0" w:space="0" w:color="auto"/>
                <w:bottom w:val="none" w:sz="0" w:space="0" w:color="auto"/>
                <w:right w:val="none" w:sz="0" w:space="0" w:color="auto"/>
              </w:divBdr>
              <w:divsChild>
                <w:div w:id="716857197">
                  <w:marLeft w:val="0"/>
                  <w:marRight w:val="0"/>
                  <w:marTop w:val="0"/>
                  <w:marBottom w:val="1"/>
                  <w:divBdr>
                    <w:top w:val="none" w:sz="0" w:space="0" w:color="auto"/>
                    <w:left w:val="none" w:sz="0" w:space="0" w:color="auto"/>
                    <w:bottom w:val="none" w:sz="0" w:space="0" w:color="auto"/>
                    <w:right w:val="none" w:sz="0" w:space="0" w:color="auto"/>
                  </w:divBdr>
                  <w:divsChild>
                    <w:div w:id="1539273557">
                      <w:marLeft w:val="0"/>
                      <w:marRight w:val="0"/>
                      <w:marTop w:val="0"/>
                      <w:marBottom w:val="0"/>
                      <w:divBdr>
                        <w:top w:val="none" w:sz="0" w:space="0" w:color="auto"/>
                        <w:left w:val="none" w:sz="0" w:space="0" w:color="auto"/>
                        <w:bottom w:val="none" w:sz="0" w:space="0" w:color="auto"/>
                        <w:right w:val="none" w:sz="0" w:space="0" w:color="auto"/>
                      </w:divBdr>
                      <w:divsChild>
                        <w:div w:id="200817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2224182">
      <w:bodyDiv w:val="1"/>
      <w:marLeft w:val="0"/>
      <w:marRight w:val="0"/>
      <w:marTop w:val="0"/>
      <w:marBottom w:val="0"/>
      <w:divBdr>
        <w:top w:val="none" w:sz="0" w:space="0" w:color="auto"/>
        <w:left w:val="none" w:sz="0" w:space="0" w:color="auto"/>
        <w:bottom w:val="none" w:sz="0" w:space="0" w:color="auto"/>
        <w:right w:val="none" w:sz="0" w:space="0" w:color="auto"/>
      </w:divBdr>
      <w:divsChild>
        <w:div w:id="1558517947">
          <w:marLeft w:val="0"/>
          <w:marRight w:val="0"/>
          <w:marTop w:val="100"/>
          <w:marBottom w:val="100"/>
          <w:divBdr>
            <w:top w:val="none" w:sz="0" w:space="0" w:color="auto"/>
            <w:left w:val="none" w:sz="0" w:space="0" w:color="auto"/>
            <w:bottom w:val="none" w:sz="0" w:space="0" w:color="auto"/>
            <w:right w:val="none" w:sz="0" w:space="0" w:color="auto"/>
          </w:divBdr>
          <w:divsChild>
            <w:div w:id="708645885">
              <w:marLeft w:val="0"/>
              <w:marRight w:val="0"/>
              <w:marTop w:val="0"/>
              <w:marBottom w:val="100"/>
              <w:divBdr>
                <w:top w:val="none" w:sz="0" w:space="0" w:color="auto"/>
                <w:left w:val="none" w:sz="0" w:space="0" w:color="auto"/>
                <w:bottom w:val="none" w:sz="0" w:space="0" w:color="auto"/>
                <w:right w:val="none" w:sz="0" w:space="0" w:color="auto"/>
              </w:divBdr>
              <w:divsChild>
                <w:div w:id="1572080238">
                  <w:marLeft w:val="0"/>
                  <w:marRight w:val="0"/>
                  <w:marTop w:val="0"/>
                  <w:marBottom w:val="0"/>
                  <w:divBdr>
                    <w:top w:val="none" w:sz="0" w:space="0" w:color="auto"/>
                    <w:left w:val="none" w:sz="0" w:space="0" w:color="auto"/>
                    <w:bottom w:val="none" w:sz="0" w:space="0" w:color="auto"/>
                    <w:right w:val="none" w:sz="0" w:space="0" w:color="auto"/>
                  </w:divBdr>
                  <w:divsChild>
                    <w:div w:id="1505628821">
                      <w:marLeft w:val="150"/>
                      <w:marRight w:val="150"/>
                      <w:marTop w:val="300"/>
                      <w:marBottom w:val="0"/>
                      <w:divBdr>
                        <w:top w:val="none" w:sz="0" w:space="0" w:color="auto"/>
                        <w:left w:val="none" w:sz="0" w:space="0" w:color="auto"/>
                        <w:bottom w:val="none" w:sz="0" w:space="0" w:color="auto"/>
                        <w:right w:val="none" w:sz="0" w:space="0" w:color="auto"/>
                      </w:divBdr>
                      <w:divsChild>
                        <w:div w:id="1105879326">
                          <w:marLeft w:val="150"/>
                          <w:marRight w:val="150"/>
                          <w:marTop w:val="0"/>
                          <w:marBottom w:val="0"/>
                          <w:divBdr>
                            <w:top w:val="none" w:sz="0" w:space="0" w:color="auto"/>
                            <w:left w:val="none" w:sz="0" w:space="0" w:color="auto"/>
                            <w:bottom w:val="none" w:sz="0" w:space="0" w:color="auto"/>
                            <w:right w:val="none" w:sz="0" w:space="0" w:color="auto"/>
                          </w:divBdr>
                          <w:divsChild>
                            <w:div w:id="6484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7771414">
      <w:bodyDiv w:val="1"/>
      <w:marLeft w:val="0"/>
      <w:marRight w:val="0"/>
      <w:marTop w:val="0"/>
      <w:marBottom w:val="0"/>
      <w:divBdr>
        <w:top w:val="none" w:sz="0" w:space="0" w:color="auto"/>
        <w:left w:val="none" w:sz="0" w:space="0" w:color="auto"/>
        <w:bottom w:val="none" w:sz="0" w:space="0" w:color="auto"/>
        <w:right w:val="none" w:sz="0" w:space="0" w:color="auto"/>
      </w:divBdr>
    </w:div>
    <w:div w:id="1467240294">
      <w:bodyDiv w:val="1"/>
      <w:marLeft w:val="0"/>
      <w:marRight w:val="0"/>
      <w:marTop w:val="0"/>
      <w:marBottom w:val="0"/>
      <w:divBdr>
        <w:top w:val="none" w:sz="0" w:space="0" w:color="auto"/>
        <w:left w:val="none" w:sz="0" w:space="0" w:color="auto"/>
        <w:bottom w:val="none" w:sz="0" w:space="0" w:color="auto"/>
        <w:right w:val="none" w:sz="0" w:space="0" w:color="auto"/>
      </w:divBdr>
    </w:div>
    <w:div w:id="1558473796">
      <w:bodyDiv w:val="1"/>
      <w:marLeft w:val="0"/>
      <w:marRight w:val="0"/>
      <w:marTop w:val="0"/>
      <w:marBottom w:val="0"/>
      <w:divBdr>
        <w:top w:val="none" w:sz="0" w:space="0" w:color="auto"/>
        <w:left w:val="none" w:sz="0" w:space="0" w:color="auto"/>
        <w:bottom w:val="none" w:sz="0" w:space="0" w:color="auto"/>
        <w:right w:val="none" w:sz="0" w:space="0" w:color="auto"/>
      </w:divBdr>
    </w:div>
    <w:div w:id="1909921279">
      <w:bodyDiv w:val="1"/>
      <w:marLeft w:val="0"/>
      <w:marRight w:val="0"/>
      <w:marTop w:val="0"/>
      <w:marBottom w:val="0"/>
      <w:divBdr>
        <w:top w:val="none" w:sz="0" w:space="0" w:color="auto"/>
        <w:left w:val="none" w:sz="0" w:space="0" w:color="auto"/>
        <w:bottom w:val="none" w:sz="0" w:space="0" w:color="auto"/>
        <w:right w:val="none" w:sz="0" w:space="0" w:color="auto"/>
      </w:divBdr>
      <w:divsChild>
        <w:div w:id="1191335725">
          <w:marLeft w:val="0"/>
          <w:marRight w:val="0"/>
          <w:marTop w:val="0"/>
          <w:marBottom w:val="0"/>
          <w:divBdr>
            <w:top w:val="none" w:sz="0" w:space="0" w:color="auto"/>
            <w:left w:val="none" w:sz="0" w:space="0" w:color="auto"/>
            <w:bottom w:val="none" w:sz="0" w:space="0" w:color="auto"/>
            <w:right w:val="none" w:sz="0" w:space="0" w:color="auto"/>
          </w:divBdr>
          <w:divsChild>
            <w:div w:id="1664435990">
              <w:marLeft w:val="0"/>
              <w:marRight w:val="0"/>
              <w:marTop w:val="0"/>
              <w:marBottom w:val="0"/>
              <w:divBdr>
                <w:top w:val="none" w:sz="0" w:space="0" w:color="auto"/>
                <w:left w:val="none" w:sz="0" w:space="0" w:color="auto"/>
                <w:bottom w:val="none" w:sz="0" w:space="0" w:color="auto"/>
                <w:right w:val="none" w:sz="0" w:space="0" w:color="auto"/>
              </w:divBdr>
              <w:divsChild>
                <w:div w:id="1641156571">
                  <w:marLeft w:val="0"/>
                  <w:marRight w:val="0"/>
                  <w:marTop w:val="0"/>
                  <w:marBottom w:val="0"/>
                  <w:divBdr>
                    <w:top w:val="none" w:sz="0" w:space="0" w:color="auto"/>
                    <w:left w:val="none" w:sz="0" w:space="0" w:color="auto"/>
                    <w:bottom w:val="none" w:sz="0" w:space="0" w:color="auto"/>
                    <w:right w:val="none" w:sz="0" w:space="0" w:color="auto"/>
                  </w:divBdr>
                  <w:divsChild>
                    <w:div w:id="866871853">
                      <w:marLeft w:val="0"/>
                      <w:marRight w:val="0"/>
                      <w:marTop w:val="0"/>
                      <w:marBottom w:val="0"/>
                      <w:divBdr>
                        <w:top w:val="none" w:sz="0" w:space="0" w:color="auto"/>
                        <w:left w:val="none" w:sz="0" w:space="0" w:color="auto"/>
                        <w:bottom w:val="none" w:sz="0" w:space="0" w:color="auto"/>
                        <w:right w:val="none" w:sz="0" w:space="0" w:color="auto"/>
                      </w:divBdr>
                      <w:divsChild>
                        <w:div w:id="1329941661">
                          <w:marLeft w:val="0"/>
                          <w:marRight w:val="0"/>
                          <w:marTop w:val="0"/>
                          <w:marBottom w:val="0"/>
                          <w:divBdr>
                            <w:top w:val="none" w:sz="0" w:space="0" w:color="auto"/>
                            <w:left w:val="none" w:sz="0" w:space="0" w:color="auto"/>
                            <w:bottom w:val="none" w:sz="0" w:space="0" w:color="auto"/>
                            <w:right w:val="none" w:sz="0" w:space="0" w:color="auto"/>
                          </w:divBdr>
                          <w:divsChild>
                            <w:div w:id="1758012847">
                              <w:marLeft w:val="0"/>
                              <w:marRight w:val="0"/>
                              <w:marTop w:val="0"/>
                              <w:marBottom w:val="0"/>
                              <w:divBdr>
                                <w:top w:val="none" w:sz="0" w:space="0" w:color="auto"/>
                                <w:left w:val="none" w:sz="0" w:space="0" w:color="auto"/>
                                <w:bottom w:val="none" w:sz="0" w:space="0" w:color="auto"/>
                                <w:right w:val="none" w:sz="0" w:space="0" w:color="auto"/>
                              </w:divBdr>
                              <w:divsChild>
                                <w:div w:id="344941494">
                                  <w:marLeft w:val="0"/>
                                  <w:marRight w:val="0"/>
                                  <w:marTop w:val="0"/>
                                  <w:marBottom w:val="0"/>
                                  <w:divBdr>
                                    <w:top w:val="none" w:sz="0" w:space="0" w:color="auto"/>
                                    <w:left w:val="none" w:sz="0" w:space="0" w:color="auto"/>
                                    <w:bottom w:val="none" w:sz="0" w:space="0" w:color="auto"/>
                                    <w:right w:val="none" w:sz="0" w:space="0" w:color="auto"/>
                                  </w:divBdr>
                                  <w:divsChild>
                                    <w:div w:id="50621091">
                                      <w:marLeft w:val="0"/>
                                      <w:marRight w:val="0"/>
                                      <w:marTop w:val="0"/>
                                      <w:marBottom w:val="240"/>
                                      <w:divBdr>
                                        <w:top w:val="none" w:sz="0" w:space="0" w:color="auto"/>
                                        <w:left w:val="none" w:sz="0" w:space="0" w:color="auto"/>
                                        <w:bottom w:val="none" w:sz="0" w:space="0" w:color="auto"/>
                                        <w:right w:val="none" w:sz="0" w:space="0" w:color="auto"/>
                                      </w:divBdr>
                                      <w:divsChild>
                                        <w:div w:id="54941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7762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blanchet@preferredhotel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4C0521-D1A7-47AB-BCBD-2339584DC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Pages>
  <Words>530</Words>
  <Characters>3026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Preferred Hotel Group</Company>
  <LinksUpToDate>false</LinksUpToDate>
  <CharactersWithSpaces>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 Karlowicz</dc:creator>
  <cp:lastModifiedBy>Michael Boubion</cp:lastModifiedBy>
  <cp:revision>17</cp:revision>
  <dcterms:created xsi:type="dcterms:W3CDTF">2020-10-19T22:36:00Z</dcterms:created>
  <dcterms:modified xsi:type="dcterms:W3CDTF">2021-11-30T18:53:00Z</dcterms:modified>
</cp:coreProperties>
</file>